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2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4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 w:right="-625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МИНИСТЕРСТВО ПРИРОДНЫХ РЕСУРСОВ И ЭКОЛОГИИ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ПРИКАЗ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p w14:paraId="0B000000">
      <w:pPr>
        <w:spacing w:after="0" w:line="240" w:lineRule="auto"/>
        <w:ind w:firstLine="0" w:left="-284" w:right="5526"/>
        <w:jc w:val="center"/>
        <w:rPr>
          <w:rFonts w:ascii="Times New Roman" w:hAnsi="Times New Roman"/>
          <w:sz w:val="24"/>
        </w:rPr>
      </w:pPr>
      <w:bookmarkStart w:id="1" w:name="REGNUMDATESTAMP"/>
      <w:r>
        <w:rPr>
          <w:rFonts w:ascii="Times New Roman" w:hAnsi="Times New Roman"/>
          <w:color w:val="000000"/>
          <w:sz w:val="24"/>
          <w:u w:val="single"/>
        </w:rPr>
        <w:t>[</w:t>
      </w:r>
      <w:r>
        <w:rPr>
          <w:rFonts w:ascii="Times New Roman" w:hAnsi="Times New Roman"/>
          <w:color w:val="000000"/>
          <w:u w:val="single"/>
        </w:rPr>
        <w:t>Дата регистрации] № [Номер документа]</w:t>
      </w:r>
      <w:bookmarkEnd w:id="1"/>
    </w:p>
    <w:p w14:paraId="0C000000">
      <w:pPr>
        <w:spacing w:after="0" w:line="240" w:lineRule="auto"/>
        <w:ind w:right="5526"/>
        <w:jc w:val="center"/>
        <w:rPr>
          <w:rFonts w:ascii="Times New Roman" w:hAnsi="Times New Roman"/>
          <w:sz w:val="12"/>
        </w:rPr>
      </w:pPr>
    </w:p>
    <w:p w14:paraId="0D000000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14:paraId="0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1"/>
        <w:tblInd w:type="dxa" w:w="-142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4395"/>
      </w:tblGrid>
      <w:tr>
        <w:tc>
          <w:tcPr>
            <w:tcW w:type="dxa" w:w="4395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F000000">
            <w:pPr>
              <w:ind w:firstLine="0" w:left="30"/>
              <w:jc w:val="both"/>
              <w:rPr>
                <w:rFonts w:ascii="Times New Roman" w:hAnsi="Times New Roman"/>
                <w:sz w:val="28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приложение к приказу Министерства природных ресурсов  и экологии Камчатского края от 29.03.2012 № 29-П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организации и проведению государственной экологической экспертизы объектов регионального уровня»</w:t>
            </w:r>
          </w:p>
        </w:tc>
      </w:tr>
    </w:tbl>
    <w:p w14:paraId="1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связи с вступлением в силу постановления Правительства Российской Федерации от 05.09.2022 № 1562 «О внесении изменений в Положение о проведении государственной экологической экспертизы», </w:t>
      </w:r>
      <w:r>
        <w:rPr>
          <w:rFonts w:ascii="Times New Roman" w:hAnsi="Times New Roman"/>
          <w:sz w:val="28"/>
        </w:rPr>
        <w:t>в целях уточнения</w:t>
      </w:r>
      <w:r>
        <w:rPr>
          <w:rFonts w:ascii="Times New Roman" w:hAnsi="Times New Roman"/>
          <w:sz w:val="28"/>
        </w:rPr>
        <w:t xml:space="preserve"> сроков выполнения отдельных административных процедур </w:t>
      </w: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  <w:highlight w:val="yellow"/>
        </w:rPr>
      </w:pP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</w:t>
      </w:r>
      <w:r>
        <w:rPr>
          <w:rFonts w:ascii="Times New Roman" w:hAnsi="Times New Roman"/>
          <w:sz w:val="28"/>
        </w:rPr>
        <w:t>:</w:t>
      </w: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6000000">
      <w:pPr>
        <w:spacing w:line="228" w:lineRule="auto"/>
        <w:ind w:firstLine="709" w:lef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</w:t>
      </w:r>
      <w:r>
        <w:rPr>
          <w:rFonts w:ascii="Times New Roman" w:hAnsi="Times New Roman"/>
          <w:sz w:val="28"/>
        </w:rPr>
        <w:t>в п</w:t>
      </w:r>
      <w:r>
        <w:rPr>
          <w:rFonts w:ascii="Times New Roman" w:hAnsi="Times New Roman"/>
          <w:sz w:val="28"/>
        </w:rPr>
        <w:t xml:space="preserve">риложение к приказу Министерства природных ресурсов и экологии Камчатского края </w:t>
      </w:r>
      <w:r>
        <w:rPr>
          <w:rFonts w:ascii="Times New Roman" w:hAnsi="Times New Roman"/>
          <w:sz w:val="28"/>
        </w:rPr>
        <w:t xml:space="preserve">от 29.03.2012 № 29-П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организации </w:t>
      </w:r>
      <w:r>
        <w:rPr>
          <w:rFonts w:ascii="Times New Roman" w:hAnsi="Times New Roman"/>
          <w:sz w:val="28"/>
        </w:rPr>
        <w:t>и проведению государственной экологической экспертизы объектов регионального уровня» (далее – Приложение)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следующие изменения</w:t>
      </w:r>
      <w:r>
        <w:rPr>
          <w:rFonts w:ascii="Times New Roman" w:hAnsi="Times New Roman"/>
          <w:sz w:val="28"/>
        </w:rPr>
        <w:t>:</w:t>
      </w:r>
    </w:p>
    <w:p w14:paraId="17000000">
      <w:pPr>
        <w:spacing w:line="228" w:lineRule="auto"/>
        <w:ind w:firstLine="709" w:left="0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разделе</w:t>
      </w:r>
      <w:r>
        <w:rPr>
          <w:rFonts w:ascii="Times New Roman" w:hAnsi="Times New Roman"/>
          <w:sz w:val="28"/>
        </w:rPr>
        <w:t xml:space="preserve"> 2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</w:p>
    <w:p w14:paraId="18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а) абзац первый части 2.4.1 </w:t>
      </w:r>
      <w:r>
        <w:rPr>
          <w:rFonts w:ascii="Times New Roman" w:hAnsi="Times New Roman"/>
          <w:color w:val="000000"/>
          <w:sz w:val="28"/>
        </w:rPr>
        <w:t>изложить в следующей редакции:</w:t>
      </w:r>
    </w:p>
    <w:p w14:paraId="19000000">
      <w:pPr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«2.4.1. </w:t>
      </w:r>
      <w:r>
        <w:rPr>
          <w:rFonts w:ascii="Times New Roman" w:hAnsi="Times New Roman"/>
          <w:b w:val="0"/>
          <w:color w:val="000000"/>
          <w:sz w:val="28"/>
        </w:rPr>
        <w:t xml:space="preserve">Срок проведения государственной экологической экспертизы, если иное не предусмотрено Федеральным </w:t>
      </w:r>
      <w:r>
        <w:rPr>
          <w:rFonts w:ascii="Times New Roman" w:hAnsi="Times New Roman"/>
          <w:b w:val="0"/>
          <w:strike w:val="0"/>
          <w:color w:val="000000"/>
          <w:sz w:val="28"/>
        </w:rPr>
        <w:t>законом</w:t>
      </w:r>
      <w:r>
        <w:rPr>
          <w:rFonts w:ascii="Times New Roman" w:hAnsi="Times New Roman"/>
          <w:b w:val="0"/>
          <w:color w:val="000000"/>
          <w:sz w:val="28"/>
        </w:rPr>
        <w:t xml:space="preserve"> «Об экологической экспертизе», не должен превышать 42 рабочих дня либо 2 месяца.</w:t>
      </w:r>
      <w:r>
        <w:rPr>
          <w:rFonts w:ascii="Times New Roman" w:hAnsi="Times New Roman"/>
          <w:b w:val="0"/>
          <w:color w:val="000000"/>
          <w:sz w:val="28"/>
        </w:rPr>
        <w:t xml:space="preserve"> Срок проведения государственной экологической экспертизы может быть продлен на 21 рабочий день, но не более одного месяца по заявлению заказчика.»;</w:t>
      </w:r>
    </w:p>
    <w:p w14:paraId="1A000000">
      <w:pPr>
        <w:spacing w:after="0" w:before="0" w:line="240" w:lineRule="auto"/>
        <w:ind w:firstLine="0" w:left="709" w:right="0"/>
        <w:jc w:val="both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б) дополнить часть 2.6.2 абзацем следующего содержания:</w:t>
      </w:r>
    </w:p>
    <w:p w14:paraId="1B000000">
      <w:pPr>
        <w:spacing w:after="0" w:before="0" w:line="240" w:lineRule="auto"/>
        <w:ind w:firstLine="0" w:left="0" w:right="0"/>
        <w:jc w:val="both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«</w:t>
      </w:r>
      <w:r>
        <w:rPr>
          <w:rFonts w:ascii="Times New Roman" w:hAnsi="Times New Roman"/>
          <w:b w:val="0"/>
          <w:color w:val="000000"/>
          <w:sz w:val="28"/>
        </w:rPr>
        <w:t xml:space="preserve">Материалы представляются в электронном виде в форме электронных документов, подписанных усиленной квалифицированной электронной подписью (для юридических и физических лиц (при наличии), усиленной неквалифицированной электронной подписью (для физических лиц), с использованием </w:t>
      </w:r>
      <w:r>
        <w:rPr>
          <w:rFonts w:ascii="Times New Roman" w:hAnsi="Times New Roman"/>
          <w:color w:val="000000"/>
          <w:sz w:val="28"/>
        </w:rPr>
        <w:t>ЕПГУ, а также РПГУ.»</w:t>
      </w:r>
      <w:r>
        <w:rPr>
          <w:rFonts w:ascii="Times New Roman" w:hAnsi="Times New Roman"/>
          <w:color w:val="000000"/>
          <w:sz w:val="28"/>
        </w:rPr>
        <w:t>;</w:t>
      </w:r>
    </w:p>
    <w:p w14:paraId="1C000000">
      <w:pPr>
        <w:spacing w:after="0" w:before="0" w:line="240" w:lineRule="auto"/>
        <w:ind w:firstLine="709" w:left="0" w:right="0"/>
        <w:jc w:val="both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в) в </w:t>
      </w:r>
      <w:r>
        <w:rPr>
          <w:rFonts w:ascii="Times New Roman" w:hAnsi="Times New Roman"/>
          <w:color w:val="000000"/>
          <w:sz w:val="28"/>
        </w:rPr>
        <w:t>части 2.11 слова «</w:t>
      </w:r>
      <w:r>
        <w:rPr>
          <w:rFonts w:ascii="Times New Roman" w:hAnsi="Times New Roman"/>
          <w:color w:val="000000"/>
          <w:sz w:val="28"/>
        </w:rPr>
        <w:t>в том числе посредством электронной почты</w:t>
      </w:r>
      <w:r>
        <w:rPr>
          <w:rFonts w:ascii="Times New Roman" w:hAnsi="Times New Roman"/>
          <w:color w:val="000000"/>
          <w:sz w:val="28"/>
        </w:rPr>
        <w:t>,» исключить</w:t>
      </w:r>
      <w:r>
        <w:rPr>
          <w:rFonts w:ascii="Times New Roman" w:hAnsi="Times New Roman"/>
          <w:color w:val="000000"/>
          <w:sz w:val="28"/>
        </w:rPr>
        <w:t>;</w:t>
      </w:r>
    </w:p>
    <w:p w14:paraId="1D000000">
      <w:pPr>
        <w:spacing w:after="0" w:before="0" w:line="240" w:lineRule="auto"/>
        <w:ind w:firstLine="709" w:left="0" w:right="0"/>
        <w:jc w:val="both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2) в разделе 3:</w:t>
      </w:r>
    </w:p>
    <w:p w14:paraId="1E000000">
      <w:pPr>
        <w:spacing w:after="0" w:before="0" w:line="240" w:lineRule="auto"/>
        <w:ind w:firstLine="709" w:left="0" w:right="0"/>
        <w:jc w:val="both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а) </w:t>
      </w:r>
      <w:r>
        <w:rPr>
          <w:rFonts w:ascii="Times New Roman" w:hAnsi="Times New Roman"/>
          <w:b w:val="0"/>
          <w:color w:val="000000"/>
          <w:sz w:val="28"/>
        </w:rPr>
        <w:t xml:space="preserve">в </w:t>
      </w:r>
      <w:r>
        <w:rPr>
          <w:rFonts w:ascii="Times New Roman" w:hAnsi="Times New Roman"/>
          <w:b w:val="0"/>
          <w:strike w:val="0"/>
          <w:color w:val="000000"/>
          <w:sz w:val="28"/>
        </w:rPr>
        <w:t xml:space="preserve">абзаце </w:t>
      </w:r>
      <w:r>
        <w:rPr>
          <w:rFonts w:ascii="Times New Roman" w:hAnsi="Times New Roman"/>
          <w:b w:val="0"/>
          <w:color w:val="000000"/>
          <w:sz w:val="28"/>
        </w:rPr>
        <w:t xml:space="preserve">втором части </w:t>
      </w:r>
      <w:r>
        <w:rPr>
          <w:rFonts w:ascii="Times New Roman" w:hAnsi="Times New Roman"/>
          <w:color w:val="000000"/>
          <w:sz w:val="28"/>
        </w:rPr>
        <w:t>3.4.1.9</w:t>
      </w:r>
      <w:r>
        <w:rPr>
          <w:rFonts w:ascii="Times New Roman" w:hAnsi="Times New Roman"/>
          <w:b w:val="0"/>
          <w:color w:val="000000"/>
          <w:sz w:val="28"/>
        </w:rPr>
        <w:t xml:space="preserve"> цифру «7» заменить цифрой «5»;</w:t>
      </w:r>
    </w:p>
    <w:p w14:paraId="1F000000">
      <w:pPr>
        <w:spacing w:after="0" w:before="0" w:line="240" w:lineRule="auto"/>
        <w:ind w:firstLine="0" w:left="709" w:righ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б) в </w:t>
      </w:r>
      <w:r>
        <w:rPr>
          <w:rFonts w:ascii="Times New Roman" w:hAnsi="Times New Roman"/>
          <w:b w:val="0"/>
          <w:strike w:val="0"/>
          <w:color w:val="000000"/>
          <w:sz w:val="28"/>
        </w:rPr>
        <w:t>абзаце первом части 3.4.1.12</w:t>
      </w:r>
      <w:r>
        <w:rPr>
          <w:rFonts w:ascii="Times New Roman" w:hAnsi="Times New Roman"/>
          <w:b w:val="0"/>
          <w:color w:val="000000"/>
          <w:sz w:val="28"/>
        </w:rPr>
        <w:t xml:space="preserve"> слова «15 дней» заменить словами «5 рабочих дней»;</w:t>
      </w:r>
    </w:p>
    <w:p w14:paraId="20000000">
      <w:pPr>
        <w:spacing w:after="0" w:before="0" w:line="240" w:lineRule="auto"/>
        <w:ind w:firstLine="0" w:left="709" w:righ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в) </w:t>
      </w:r>
      <w:r>
        <w:rPr>
          <w:rFonts w:ascii="Times New Roman" w:hAnsi="Times New Roman"/>
          <w:b w:val="0"/>
          <w:strike w:val="0"/>
          <w:color w:val="000000"/>
          <w:sz w:val="28"/>
        </w:rPr>
        <w:t xml:space="preserve">абзаце </w:t>
      </w:r>
      <w:r>
        <w:rPr>
          <w:rFonts w:ascii="Times New Roman" w:hAnsi="Times New Roman"/>
          <w:b w:val="0"/>
          <w:color w:val="000000"/>
          <w:sz w:val="28"/>
        </w:rPr>
        <w:t xml:space="preserve">втором части </w:t>
      </w:r>
      <w:r>
        <w:rPr>
          <w:rFonts w:ascii="Times New Roman" w:hAnsi="Times New Roman"/>
          <w:b w:val="0"/>
          <w:color w:val="000000"/>
          <w:sz w:val="28"/>
        </w:rPr>
        <w:t xml:space="preserve">3.4.2.8 </w:t>
      </w:r>
      <w:r>
        <w:rPr>
          <w:rFonts w:ascii="Times New Roman" w:hAnsi="Times New Roman"/>
          <w:b w:val="0"/>
          <w:color w:val="000000"/>
          <w:sz w:val="28"/>
        </w:rPr>
        <w:t>цифру «7» заменить цифрой «5»;</w:t>
      </w:r>
    </w:p>
    <w:p w14:paraId="21000000">
      <w:pPr>
        <w:spacing w:after="0" w:before="0" w:line="240" w:lineRule="auto"/>
        <w:ind w:firstLine="0" w:left="709" w:righ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г) </w:t>
      </w:r>
      <w:r>
        <w:rPr>
          <w:rFonts w:ascii="Times New Roman" w:hAnsi="Times New Roman"/>
          <w:b w:val="0"/>
          <w:color w:val="000000"/>
          <w:sz w:val="28"/>
        </w:rPr>
        <w:t xml:space="preserve">в </w:t>
      </w:r>
      <w:r>
        <w:rPr>
          <w:rFonts w:ascii="Times New Roman" w:hAnsi="Times New Roman"/>
          <w:b w:val="0"/>
          <w:strike w:val="0"/>
          <w:color w:val="000000"/>
          <w:sz w:val="28"/>
        </w:rPr>
        <w:t xml:space="preserve">абзаце </w:t>
      </w:r>
      <w:r>
        <w:rPr>
          <w:rFonts w:ascii="Times New Roman" w:hAnsi="Times New Roman"/>
          <w:b w:val="0"/>
          <w:color w:val="000000"/>
          <w:sz w:val="28"/>
        </w:rPr>
        <w:t>втором части 3.3.6 цифру «7» заменить цифрой «5».</w:t>
      </w:r>
    </w:p>
    <w:p w14:paraId="22000000">
      <w:pPr>
        <w:tabs>
          <w:tab w:leader="none" w:pos="1134" w:val="left"/>
        </w:tabs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Отделу охраны окружающей среды и государственной экологической экспертизы Министерства природных ресурсов и экологии </w:t>
      </w:r>
      <w:r>
        <w:rPr>
          <w:rFonts w:ascii="Times New Roman" w:hAnsi="Times New Roman"/>
          <w:sz w:val="28"/>
        </w:rPr>
        <w:t>Камчатского края обеспечить направление настоящего приказа на бумажном носителе и в виде электронного документа в Министерство экономического развития Камчатского края, в Министерство цифрового развития Камчатского края, Министерство развития гражданского общества и молодежи Камчатского края, в Управление Министерства юстиции Российской Федерации по Камчатскому краю и Прокуратуру Камчатского края.</w:t>
      </w:r>
    </w:p>
    <w:p w14:paraId="23000000">
      <w:p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Отделу экономики и организационно-правового обеспечения Министерства природных ресурсов и экологии Камчатского края разместить настоящий приказ в сети «Интернет» на официальном сайте исполнительных органов Камчатского к</w:t>
      </w:r>
      <w:r>
        <w:rPr>
          <w:rFonts w:ascii="Times New Roman" w:hAnsi="Times New Roman"/>
          <w:sz w:val="28"/>
        </w:rPr>
        <w:t>рая на странице Министерства природных ресурсов и экологии Камчатского края.</w:t>
      </w:r>
    </w:p>
    <w:p w14:paraId="24000000">
      <w:pPr>
        <w:tabs>
          <w:tab w:leader="none" w:pos="1134" w:val="left"/>
        </w:tabs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sz w:val="28"/>
        </w:rPr>
        <w:t>Настоящий приказ вступает в силу после дня его официального опубликования.</w:t>
      </w:r>
    </w:p>
    <w:p w14:paraId="2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2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bookmarkStart w:id="2" w:name="_GoBack"/>
      <w:bookmarkEnd w:id="2"/>
    </w:p>
    <w:tbl>
      <w:tblPr>
        <w:tblStyle w:val="Style_2"/>
        <w:tblLayout w:type="fixed"/>
        <w:tblCellMar>
          <w:left w:type="dxa" w:w="0"/>
          <w:right w:type="dxa" w:w="0"/>
        </w:tblCellMar>
      </w:tblPr>
      <w:tblGrid>
        <w:gridCol w:w="3260"/>
        <w:gridCol w:w="3542"/>
        <w:gridCol w:w="2834"/>
      </w:tblGrid>
      <w:tr>
        <w:trPr>
          <w:trHeight w:hRule="atLeast" w:val="665"/>
        </w:trPr>
        <w:tc>
          <w:tcPr>
            <w:tcW w:type="dxa" w:w="3260"/>
            <w:shd w:fill="auto" w:val="clear"/>
            <w:tcMar>
              <w:left w:type="dxa" w:w="0"/>
              <w:right w:type="dxa" w:w="0"/>
            </w:tcMar>
          </w:tcPr>
          <w:p w14:paraId="28000000">
            <w:pPr>
              <w:spacing w:after="0" w:line="240" w:lineRule="auto"/>
              <w:ind w:hanging="4" w:left="4"/>
              <w:rPr>
                <w:rFonts w:ascii="Times New Roman" w:hAnsi="Times New Roman"/>
                <w:sz w:val="28"/>
              </w:rPr>
            </w:pPr>
          </w:p>
          <w:p w14:paraId="29000000">
            <w:pPr>
              <w:spacing w:after="0" w:line="240" w:lineRule="auto"/>
              <w:ind w:hanging="4" w:left="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type="dxa" w:w="3542"/>
            <w:shd w:fill="auto" w:val="clear"/>
            <w:tcMar>
              <w:left w:type="dxa" w:w="0"/>
              <w:right w:type="dxa" w:w="0"/>
            </w:tcMar>
          </w:tcPr>
          <w:p w14:paraId="2A000000">
            <w:pPr>
              <w:spacing w:after="0" w:line="240" w:lineRule="auto"/>
              <w:ind w:right="-116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34"/>
            <w:shd w:fill="auto" w:val="clear"/>
            <w:tcMar>
              <w:left w:type="dxa" w:w="0"/>
              <w:right w:type="dxa" w:w="0"/>
            </w:tcMar>
          </w:tcPr>
          <w:p w14:paraId="2B000000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14:paraId="2C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А.А. Кумарьков</w:t>
            </w:r>
          </w:p>
        </w:tc>
      </w:tr>
    </w:tbl>
    <w:p w14:paraId="2D000000">
      <w:pPr>
        <w:spacing w:after="0" w:line="240" w:lineRule="auto"/>
        <w:ind w:firstLine="2694" w:left="0" w:right="-116"/>
        <w:rPr>
          <w:rFonts w:ascii="Times New Roman" w:hAnsi="Times New Roman"/>
          <w:color w:val="D9D9D9"/>
          <w:sz w:val="28"/>
        </w:rPr>
      </w:pPr>
      <w:bookmarkStart w:id="3" w:name="SIGNERSTAMP1"/>
      <w:r>
        <w:rPr>
          <w:rFonts w:ascii="Times New Roman" w:hAnsi="Times New Roman"/>
          <w:color w:val="D9D9D9"/>
          <w:sz w:val="28"/>
        </w:rPr>
        <w:t>[горизонтальный штамп подписи 1]</w:t>
      </w:r>
      <w:bookmarkEnd w:id="3"/>
    </w:p>
    <w:p w14:paraId="2E000000">
      <w:pPr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9" w:gutter="0" w:header="709" w:left="1418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3"/>
    <w:link w:val="Style_9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9_ch" w:type="character">
    <w:name w:val="header"/>
    <w:basedOn w:val="Style_3_ch"/>
    <w:link w:val="Style_9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Plain Text"/>
    <w:basedOn w:val="Style_3"/>
    <w:link w:val="Style_11_ch"/>
    <w:pPr>
      <w:spacing w:after="0" w:line="240" w:lineRule="auto"/>
      <w:ind/>
    </w:pPr>
    <w:rPr>
      <w:rFonts w:ascii="Calibri" w:hAnsi="Calibri"/>
    </w:rPr>
  </w:style>
  <w:style w:styleId="Style_11_ch" w:type="character">
    <w:name w:val="Plain Text"/>
    <w:basedOn w:val="Style_3_ch"/>
    <w:link w:val="Style_11"/>
    <w:rPr>
      <w:rFonts w:ascii="Calibri" w:hAnsi="Calibri"/>
    </w:rPr>
  </w:style>
  <w:style w:styleId="Style_12" w:type="paragraph">
    <w:name w:val="toc 3"/>
    <w:next w:val="Style_3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3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footer"/>
    <w:basedOn w:val="Style_3"/>
    <w:link w:val="Style_14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14_ch" w:type="character">
    <w:name w:val="footer"/>
    <w:basedOn w:val="Style_3_ch"/>
    <w:link w:val="Style_14"/>
    <w:rPr>
      <w:rFonts w:ascii="Times New Roman" w:hAnsi="Times New Roman"/>
      <w:sz w:val="28"/>
    </w:rPr>
  </w:style>
  <w:style w:styleId="Style_15" w:type="paragraph">
    <w:name w:val="heading 1"/>
    <w:next w:val="Style_3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basedOn w:val="Style_10"/>
    <w:link w:val="Style_16_ch"/>
    <w:rPr>
      <w:color w:themeColor="hyperlink" w:val="0563C1"/>
      <w:u w:val="single"/>
    </w:rPr>
  </w:style>
  <w:style w:styleId="Style_16_ch" w:type="character">
    <w:name w:val="Hyperlink"/>
    <w:basedOn w:val="Style_10_ch"/>
    <w:link w:val="Style_16"/>
    <w:rPr>
      <w:color w:themeColor="hyperlink" w:val="0563C1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3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3"/>
    <w:link w:val="Style_23_ch"/>
    <w:pPr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3_ch"/>
    <w:link w:val="Style_23"/>
    <w:rPr>
      <w:rFonts w:ascii="Segoe UI" w:hAnsi="Segoe UI"/>
      <w:sz w:val="18"/>
    </w:rPr>
  </w:style>
  <w:style w:styleId="Style_24" w:type="paragraph">
    <w:name w:val="Subtitle"/>
    <w:next w:val="Style_3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3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3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3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1" w:type="table">
    <w:name w:val="Table Grid"/>
    <w:basedOn w:val="Style_2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8" w:type="table">
    <w:name w:val="Сетка таблицы2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9" w:type="table">
    <w:name w:val="Сетка таблицы1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jpe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2023-04-14T03:48:09Z</dcterms:modified>
</cp:coreProperties>
</file>